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7496" w14:textId="77777777" w:rsidR="004E68EA" w:rsidRDefault="004E68EA" w:rsidP="00FA6A1B">
      <w:pPr>
        <w:pStyle w:val="Heading2ChapterHeading"/>
        <w:spacing w:before="0" w:line="240" w:lineRule="auto"/>
      </w:pPr>
      <w:r>
        <w:t xml:space="preserve">SÕLTUMATU </w:t>
      </w:r>
      <w:r w:rsidR="005E690E">
        <w:t>VANDE</w:t>
      </w:r>
      <w:r>
        <w:t>AUDIITORI ARUANNE</w:t>
      </w:r>
    </w:p>
    <w:p w14:paraId="6A7D879D" w14:textId="77777777" w:rsidR="00FA6A1B" w:rsidRPr="00FA6A1B" w:rsidRDefault="00FA6A1B" w:rsidP="00FA6A1B">
      <w:pPr>
        <w:pStyle w:val="Heading2ChapterHeading"/>
        <w:spacing w:before="0" w:line="240" w:lineRule="auto"/>
        <w:rPr>
          <w:color w:val="00B0F0"/>
          <w:kern w:val="0"/>
          <w:szCs w:val="24"/>
        </w:rPr>
      </w:pPr>
    </w:p>
    <w:p w14:paraId="6CC88C2A" w14:textId="49F04B74" w:rsidR="004E68EA" w:rsidRPr="00EE72C9" w:rsidRDefault="00BB0947" w:rsidP="00FA6A1B">
      <w:pPr>
        <w:pStyle w:val="BodyText"/>
        <w:rPr>
          <w:color w:val="000000" w:themeColor="text1"/>
        </w:rPr>
      </w:pPr>
      <w:r w:rsidRPr="00EE72C9">
        <w:rPr>
          <w:color w:val="000000" w:themeColor="text1"/>
        </w:rPr>
        <w:t xml:space="preserve">Punktid Technologies AS </w:t>
      </w:r>
      <w:r w:rsidR="004E68EA" w:rsidRPr="00EE72C9">
        <w:rPr>
          <w:color w:val="000000" w:themeColor="text1"/>
        </w:rPr>
        <w:t xml:space="preserve"> aktsionäridele</w:t>
      </w:r>
    </w:p>
    <w:p w14:paraId="39A6DAB9" w14:textId="77777777" w:rsidR="00FA4676" w:rsidRDefault="00FA4676" w:rsidP="00FA4676">
      <w:pPr>
        <w:pStyle w:val="Heading3"/>
        <w:rPr>
          <w:sz w:val="16"/>
          <w:szCs w:val="16"/>
          <w:lang w:bidi="he-IL"/>
        </w:rPr>
      </w:pPr>
      <w:r>
        <w:t>Arvamuse avaldamisest loobumine</w:t>
      </w:r>
    </w:p>
    <w:p w14:paraId="2FD411C5" w14:textId="2137944D" w:rsidR="00A85E10" w:rsidRPr="00EE72C9" w:rsidRDefault="00FA4676" w:rsidP="00A85E10">
      <w:pPr>
        <w:pStyle w:val="BodyText"/>
        <w:rPr>
          <w:color w:val="000000" w:themeColor="text1"/>
        </w:rPr>
      </w:pPr>
      <w:r>
        <w:rPr>
          <w:color w:val="000000" w:themeColor="text1"/>
        </w:rPr>
        <w:t>Meid telliti auditeerima</w:t>
      </w:r>
      <w:r w:rsidR="00A85E10" w:rsidRPr="00EE72C9">
        <w:rPr>
          <w:color w:val="000000" w:themeColor="text1"/>
        </w:rPr>
        <w:t xml:space="preserve"> Punktid Technologies AS ja tema tütarettevõtjate (grupp) konsolideeritud raamatupidamise aastaaruannet, mis sisaldab konsolideeritud bilanssi seisuga 31. detsember 2023 ning konsolideeritud kasumiaruannet, konsolideeritud rahavoogude aruannet ja konsolideeritud omakapitali muutuste aruannet eeltoodud kuupäeval lõppenud majandusaasta kohta ja konsolideeritud raamatupidamise aastaaruande lisasid, sealhulgas märkimisväärsete arvestuspõhimõtete kokkuvõtet.</w:t>
      </w:r>
    </w:p>
    <w:p w14:paraId="221CEC85" w14:textId="77777777" w:rsidR="00716926" w:rsidRDefault="00716926" w:rsidP="00716926">
      <w:pPr>
        <w:autoSpaceDE w:val="0"/>
        <w:autoSpaceDN w:val="0"/>
        <w:adjustRightInd w:val="0"/>
        <w:spacing w:before="0" w:line="240" w:lineRule="auto"/>
        <w:rPr>
          <w:rFonts w:ascii="Times-Roman" w:eastAsiaTheme="minorHAnsi" w:hAnsi="Times-Roman" w:cs="Times-Roman"/>
          <w:szCs w:val="20"/>
          <w:lang w:eastAsia="en-US"/>
        </w:rPr>
      </w:pPr>
    </w:p>
    <w:p w14:paraId="006D2B93" w14:textId="55E876F1" w:rsidR="00716926" w:rsidRPr="00587909" w:rsidRDefault="00716926" w:rsidP="00716926">
      <w:pPr>
        <w:autoSpaceDE w:val="0"/>
        <w:autoSpaceDN w:val="0"/>
        <w:adjustRightInd w:val="0"/>
        <w:spacing w:before="0" w:line="240" w:lineRule="auto"/>
        <w:rPr>
          <w:rFonts w:ascii="Times-Roman" w:eastAsiaTheme="minorHAnsi" w:hAnsi="Times-Roman" w:cs="Times-Roman"/>
          <w:szCs w:val="20"/>
          <w:lang w:eastAsia="en-US"/>
        </w:rPr>
      </w:pPr>
      <w:r w:rsidRPr="00587909">
        <w:rPr>
          <w:rFonts w:ascii="Times-Roman" w:eastAsiaTheme="minorHAnsi" w:hAnsi="Times-Roman" w:cs="Times-Roman"/>
          <w:szCs w:val="20"/>
          <w:lang w:eastAsia="en-US"/>
        </w:rPr>
        <w:t xml:space="preserve">Me ei avalda arvamust </w:t>
      </w:r>
      <w:r w:rsidR="00DD7025">
        <w:rPr>
          <w:rFonts w:ascii="Times-Roman" w:eastAsiaTheme="minorHAnsi" w:hAnsi="Times-Roman" w:cs="Times-Roman"/>
          <w:szCs w:val="20"/>
          <w:lang w:eastAsia="en-US"/>
        </w:rPr>
        <w:t>grupi</w:t>
      </w:r>
      <w:r w:rsidRPr="00587909">
        <w:rPr>
          <w:rFonts w:ascii="Times-Roman" w:eastAsiaTheme="minorHAnsi" w:hAnsi="Times-Roman" w:cs="Times-Roman"/>
          <w:szCs w:val="20"/>
          <w:lang w:eastAsia="en-US"/>
        </w:rPr>
        <w:t xml:space="preserve"> kaasneva </w:t>
      </w:r>
      <w:r w:rsidR="00DD7025">
        <w:rPr>
          <w:rFonts w:ascii="Times-Roman" w:eastAsiaTheme="minorHAnsi" w:hAnsi="Times-Roman" w:cs="Times-Roman"/>
          <w:szCs w:val="20"/>
          <w:lang w:eastAsia="en-US"/>
        </w:rPr>
        <w:t xml:space="preserve">konsolideeritud </w:t>
      </w:r>
      <w:r w:rsidRPr="00587909">
        <w:rPr>
          <w:rFonts w:ascii="Times-Roman" w:eastAsiaTheme="minorHAnsi" w:hAnsi="Times-Roman" w:cs="Times-Roman"/>
          <w:szCs w:val="20"/>
          <w:lang w:eastAsia="en-US"/>
        </w:rPr>
        <w:t xml:space="preserve">raamatupidamise aastaaruande kohta. Meie aruande arvamuse avaldamisest loobumise aluse osas kirjeldatud asjaolude märkimisväärsuse tõttu ei suutnud me hankida piisavat asjakohast auditi tõendusmaterjali, mis annaks aluse avaldada </w:t>
      </w:r>
      <w:r w:rsidR="00DD7025">
        <w:rPr>
          <w:rFonts w:ascii="Times-Roman" w:eastAsiaTheme="minorHAnsi" w:hAnsi="Times-Roman" w:cs="Times-Roman"/>
          <w:szCs w:val="20"/>
          <w:lang w:eastAsia="en-US"/>
        </w:rPr>
        <w:t xml:space="preserve">konsolideeritud </w:t>
      </w:r>
      <w:r w:rsidRPr="00587909">
        <w:rPr>
          <w:rFonts w:ascii="Times-Roman" w:eastAsiaTheme="minorHAnsi" w:hAnsi="Times-Roman" w:cs="Times-Roman"/>
          <w:szCs w:val="20"/>
          <w:lang w:eastAsia="en-US"/>
        </w:rPr>
        <w:t>raamatupidamise aastaaruande kohta auditiarvamuse.</w:t>
      </w:r>
    </w:p>
    <w:p w14:paraId="1772DFEF" w14:textId="77777777" w:rsidR="001A72DD" w:rsidRDefault="001A72DD" w:rsidP="008856AF">
      <w:pPr>
        <w:pStyle w:val="Heading3"/>
        <w:spacing w:before="120" w:line="240" w:lineRule="auto"/>
      </w:pPr>
    </w:p>
    <w:p w14:paraId="2116C8A2" w14:textId="77777777" w:rsidR="00B1730C" w:rsidRDefault="00B1730C" w:rsidP="00B1730C">
      <w:pPr>
        <w:autoSpaceDE w:val="0"/>
        <w:autoSpaceDN w:val="0"/>
        <w:adjustRightInd w:val="0"/>
        <w:spacing w:line="240" w:lineRule="auto"/>
        <w:rPr>
          <w:rFonts w:ascii="Times-Bold" w:hAnsi="Times-Bold" w:cs="Times-Bold"/>
          <w:b/>
          <w:bCs/>
          <w:szCs w:val="20"/>
        </w:rPr>
      </w:pPr>
      <w:r w:rsidRPr="00587909">
        <w:rPr>
          <w:rFonts w:ascii="Times-Bold" w:hAnsi="Times-Bold" w:cs="Times-Bold"/>
          <w:b/>
          <w:bCs/>
          <w:szCs w:val="20"/>
        </w:rPr>
        <w:t>Arvamuse avaldamisest loobumise alus</w:t>
      </w:r>
    </w:p>
    <w:p w14:paraId="0B630931" w14:textId="77777777" w:rsidR="005B4E6E" w:rsidRPr="005B4E6E" w:rsidRDefault="005B4E6E" w:rsidP="00B1730C">
      <w:pPr>
        <w:autoSpaceDE w:val="0"/>
        <w:autoSpaceDN w:val="0"/>
        <w:adjustRightInd w:val="0"/>
        <w:spacing w:line="240" w:lineRule="auto"/>
        <w:rPr>
          <w:rFonts w:ascii="Times-Bold" w:hAnsi="Times-Bold" w:cs="Times-Bold"/>
          <w:b/>
          <w:bCs/>
          <w:color w:val="0070C0"/>
          <w:szCs w:val="20"/>
        </w:rPr>
      </w:pPr>
    </w:p>
    <w:p w14:paraId="4DDFCF0A" w14:textId="19F9C026" w:rsidR="001A72DD" w:rsidRPr="00AE66C8" w:rsidRDefault="001A72DD" w:rsidP="00AE66C8">
      <w:pPr>
        <w:pStyle w:val="ListParagraph"/>
        <w:numPr>
          <w:ilvl w:val="0"/>
          <w:numId w:val="2"/>
        </w:numPr>
        <w:spacing w:after="200" w:line="276" w:lineRule="auto"/>
        <w:rPr>
          <w:color w:val="000000" w:themeColor="text1"/>
          <w:sz w:val="22"/>
          <w:szCs w:val="22"/>
        </w:rPr>
      </w:pPr>
      <w:r w:rsidRPr="00AE66C8">
        <w:rPr>
          <w:color w:val="000000" w:themeColor="text1"/>
          <w:sz w:val="22"/>
          <w:szCs w:val="22"/>
        </w:rPr>
        <w:t>Seisuga 31.12.2023 on konsolideeritud bilansis kajastatud immateriaalse põhivarana Punktid platvormi arendustasud summas 361 tuhat eurot  ja materiaalne põhivara maksumuses 43 tuhat eurot. Tulenevalt aruandekuupäevajärgsetest asjaoludest nagu on kirjeldatud eelmises punktis, on need asjaolud indikatsiooniks, et tuleb läbi viia vara kaetava väärtuse test nagu seda nõuab raamatupidamistoimkonna juhend RTJ 5 „Materiaalsed ja immateriaalsed põhivarad“. Juhtkond ei ole kaetava väärtuse testi läbi viinud. Eespooltoodust tulenevalt me ei oska hinnata, kas ja kui suures mahus vajaksid konsolideeritud bilansis immateriaalne ja materiaalne põhivara allahindlust. Võimaliku allahindluse tulemusena väheneks grupi bilansis põhivara maksumus ja  majandusaasta kasum.</w:t>
      </w:r>
    </w:p>
    <w:p w14:paraId="1E169949" w14:textId="62A69FC4" w:rsidR="001A72DD" w:rsidRPr="00AE66C8" w:rsidRDefault="001A72DD" w:rsidP="00AE66C8">
      <w:pPr>
        <w:pStyle w:val="ListParagraph"/>
        <w:numPr>
          <w:ilvl w:val="0"/>
          <w:numId w:val="2"/>
        </w:numPr>
        <w:spacing w:after="200" w:line="276" w:lineRule="auto"/>
        <w:rPr>
          <w:color w:val="000000" w:themeColor="text1"/>
          <w:sz w:val="22"/>
          <w:szCs w:val="22"/>
        </w:rPr>
      </w:pPr>
      <w:r w:rsidRPr="00AE66C8">
        <w:rPr>
          <w:color w:val="000000" w:themeColor="text1"/>
          <w:sz w:val="22"/>
          <w:szCs w:val="22"/>
        </w:rPr>
        <w:t>Konsolideeritud bilansis on kajastatud varudena muuhulgas müügiks ostetud kaubad maksumuses  300 tuhat eurot, mille võimaliku realiseerimise aja ja maksumuse kohta me ei saanud piisavalt informatsiooni, sest tütarettevõtte tegevus oli aruandekuupäevajärgselt peatunud. Eelpooltoodust tulenevalt me ei oska hinnata kas nende varude maksumus bilansis vajaks allahindlust või ei.</w:t>
      </w:r>
    </w:p>
    <w:p w14:paraId="64035983" w14:textId="1BA77A04" w:rsidR="001A72DD" w:rsidRPr="00AE66C8" w:rsidRDefault="001A72DD" w:rsidP="00AE66C8">
      <w:pPr>
        <w:pStyle w:val="ListParagraph"/>
        <w:numPr>
          <w:ilvl w:val="0"/>
          <w:numId w:val="2"/>
        </w:numPr>
        <w:spacing w:after="200" w:line="276" w:lineRule="auto"/>
        <w:rPr>
          <w:color w:val="000000" w:themeColor="text1"/>
          <w:sz w:val="22"/>
          <w:szCs w:val="22"/>
        </w:rPr>
      </w:pPr>
      <w:r w:rsidRPr="00AE66C8">
        <w:rPr>
          <w:color w:val="000000" w:themeColor="text1"/>
          <w:sz w:val="22"/>
          <w:szCs w:val="22"/>
        </w:rPr>
        <w:t>Grupp kajastab muude viitvõlgadena saamata kaubaostuarveid maksumuses 50 tuhat eurot. Auditi käigus me ei saanud informatsiooni, missuguste kaupade soetuste katteks viitvõlg moodustati. Seetõttu me ei tea kas viitvõla ja vahendusteenuse vähendusena kajastatud 50 tuhat eurot on põhjendatud või ei. Juhul, kui viitvõla moodustamine ei olnud vajalik, väheneksid võimaliku mõju võrra bilansis viitvõlad ja suureneks majandusaasta kasum.</w:t>
      </w:r>
    </w:p>
    <w:p w14:paraId="6F8DE82E" w14:textId="406562E1" w:rsidR="001A72DD" w:rsidRDefault="001A72DD" w:rsidP="00AE66C8">
      <w:pPr>
        <w:pStyle w:val="ListParagraph"/>
        <w:numPr>
          <w:ilvl w:val="0"/>
          <w:numId w:val="2"/>
        </w:numPr>
        <w:spacing w:line="276" w:lineRule="auto"/>
        <w:rPr>
          <w:sz w:val="22"/>
          <w:szCs w:val="22"/>
        </w:rPr>
      </w:pPr>
      <w:r w:rsidRPr="00AE66C8">
        <w:rPr>
          <w:sz w:val="22"/>
          <w:szCs w:val="22"/>
        </w:rPr>
        <w:t xml:space="preserve">Emaettevõtte konsolideerimata bilansis on kajastatud tütarettevõte HVK Business OÜ väärtus soetusmaksumuses 924 tuhat eurot. Tütarettevõtte tegevus </w:t>
      </w:r>
      <w:r w:rsidR="0033249A" w:rsidRPr="00AE66C8">
        <w:rPr>
          <w:sz w:val="22"/>
          <w:szCs w:val="22"/>
        </w:rPr>
        <w:t xml:space="preserve">on </w:t>
      </w:r>
      <w:r w:rsidRPr="00AE66C8">
        <w:rPr>
          <w:sz w:val="22"/>
          <w:szCs w:val="22"/>
        </w:rPr>
        <w:t>peatunud, mis  on indikatsiooniks, et tütarettevõtte väärtus bilansis võib olla vähenenud ning tuleks läbi viia kaetava väärtuse test. Juhtkond ei ole kaetava väärtuse testi läbi viinud. Eespooltoodust tulenevalt me ei oska hinnata kas ja kui suures mahus vajaks emaettevõtte aruandes tütarettevõtte väärtus allahindlust. Allahindluse tulemusena väheneksid emaettevõtte konsolideerimata aruandes tütarettevõtte väärtus, majandusaasta kasum ja omakapital.</w:t>
      </w:r>
    </w:p>
    <w:p w14:paraId="3E8856EB" w14:textId="3A7534F2" w:rsidR="00E623A0" w:rsidRPr="009B43E7" w:rsidRDefault="00E623A0" w:rsidP="00AE66C8">
      <w:pPr>
        <w:pStyle w:val="ListParagraph"/>
        <w:numPr>
          <w:ilvl w:val="0"/>
          <w:numId w:val="2"/>
        </w:numPr>
        <w:spacing w:line="276" w:lineRule="auto"/>
        <w:rPr>
          <w:color w:val="000000" w:themeColor="text1"/>
          <w:sz w:val="22"/>
          <w:szCs w:val="22"/>
        </w:rPr>
      </w:pPr>
      <w:r w:rsidRPr="009B43E7">
        <w:rPr>
          <w:color w:val="000000" w:themeColor="text1"/>
          <w:szCs w:val="20"/>
        </w:rPr>
        <w:t xml:space="preserve">Grupi </w:t>
      </w:r>
      <w:r w:rsidR="00AE66C8" w:rsidRPr="009B43E7">
        <w:rPr>
          <w:color w:val="000000" w:themeColor="text1"/>
          <w:szCs w:val="20"/>
        </w:rPr>
        <w:t xml:space="preserve">konsolideeritud </w:t>
      </w:r>
      <w:r w:rsidRPr="009B43E7">
        <w:rPr>
          <w:color w:val="000000" w:themeColor="text1"/>
          <w:szCs w:val="20"/>
        </w:rPr>
        <w:t>raamatupidamise aastaaruanne on 31.12.2023 seisuga koostatud tegevuse jätkuvuse arvestuse alusprintsiibi</w:t>
      </w:r>
      <w:r w:rsidR="00BA2CEE">
        <w:rPr>
          <w:color w:val="000000" w:themeColor="text1"/>
          <w:szCs w:val="20"/>
        </w:rPr>
        <w:t>st</w:t>
      </w:r>
      <w:r w:rsidRPr="009B43E7">
        <w:rPr>
          <w:color w:val="000000" w:themeColor="text1"/>
          <w:szCs w:val="20"/>
        </w:rPr>
        <w:t xml:space="preserve"> lähtudes.</w:t>
      </w:r>
      <w:r w:rsidR="00271CDD" w:rsidRPr="009B43E7">
        <w:rPr>
          <w:color w:val="000000" w:themeColor="text1"/>
          <w:szCs w:val="20"/>
        </w:rPr>
        <w:t xml:space="preserve"> Aruandekuupäevajärgselt on grupi </w:t>
      </w:r>
      <w:r w:rsidR="00FB2552" w:rsidRPr="009B43E7">
        <w:rPr>
          <w:color w:val="000000" w:themeColor="text1"/>
          <w:szCs w:val="20"/>
        </w:rPr>
        <w:t>müük oluliselt vähenenud</w:t>
      </w:r>
      <w:r w:rsidR="00C70A32">
        <w:rPr>
          <w:color w:val="000000" w:themeColor="text1"/>
          <w:szCs w:val="20"/>
        </w:rPr>
        <w:t xml:space="preserve">, mistõttu </w:t>
      </w:r>
      <w:r w:rsidR="00D70541" w:rsidRPr="009B43E7">
        <w:rPr>
          <w:color w:val="000000" w:themeColor="text1"/>
          <w:szCs w:val="20"/>
        </w:rPr>
        <w:t xml:space="preserve">finantsraskuste korral on emaettevõtte omanikud </w:t>
      </w:r>
      <w:r w:rsidR="00AF59D7" w:rsidRPr="009B43E7">
        <w:rPr>
          <w:color w:val="000000" w:themeColor="text1"/>
          <w:szCs w:val="20"/>
        </w:rPr>
        <w:t xml:space="preserve">nõus tegema täiendavaid </w:t>
      </w:r>
      <w:r w:rsidR="006A2855" w:rsidRPr="009B43E7">
        <w:rPr>
          <w:color w:val="000000" w:themeColor="text1"/>
          <w:szCs w:val="20"/>
        </w:rPr>
        <w:t xml:space="preserve">rahalisi </w:t>
      </w:r>
      <w:r w:rsidR="00AF59D7" w:rsidRPr="009B43E7">
        <w:rPr>
          <w:color w:val="000000" w:themeColor="text1"/>
          <w:szCs w:val="20"/>
        </w:rPr>
        <w:t>sissemakseid</w:t>
      </w:r>
      <w:r w:rsidR="006A2855" w:rsidRPr="009B43E7">
        <w:rPr>
          <w:color w:val="000000" w:themeColor="text1"/>
          <w:szCs w:val="20"/>
        </w:rPr>
        <w:t xml:space="preserve"> </w:t>
      </w:r>
      <w:r w:rsidR="00644264" w:rsidRPr="009B43E7">
        <w:rPr>
          <w:color w:val="000000" w:themeColor="text1"/>
          <w:szCs w:val="20"/>
        </w:rPr>
        <w:t xml:space="preserve">või korraldama täiendava aktsiate </w:t>
      </w:r>
      <w:r w:rsidR="005828A1">
        <w:rPr>
          <w:color w:val="000000" w:themeColor="text1"/>
          <w:szCs w:val="20"/>
        </w:rPr>
        <w:t xml:space="preserve">avaliku </w:t>
      </w:r>
      <w:r w:rsidR="00644264" w:rsidRPr="009B43E7">
        <w:rPr>
          <w:color w:val="000000" w:themeColor="text1"/>
          <w:szCs w:val="20"/>
        </w:rPr>
        <w:t>pakkumise</w:t>
      </w:r>
      <w:r w:rsidR="0058014D">
        <w:rPr>
          <w:color w:val="000000" w:themeColor="text1"/>
          <w:szCs w:val="20"/>
        </w:rPr>
        <w:t xml:space="preserve"> nagu on kirjeldatud aruande lisas 21</w:t>
      </w:r>
      <w:r w:rsidRPr="009B43E7">
        <w:rPr>
          <w:color w:val="000000" w:themeColor="text1"/>
          <w:szCs w:val="20"/>
        </w:rPr>
        <w:t xml:space="preserve">. </w:t>
      </w:r>
      <w:r w:rsidR="00375584" w:rsidRPr="009B43E7">
        <w:rPr>
          <w:color w:val="000000" w:themeColor="text1"/>
          <w:szCs w:val="20"/>
        </w:rPr>
        <w:lastRenderedPageBreak/>
        <w:t xml:space="preserve">Meil </w:t>
      </w:r>
      <w:r w:rsidRPr="009B43E7">
        <w:rPr>
          <w:color w:val="000000" w:themeColor="text1"/>
          <w:szCs w:val="20"/>
        </w:rPr>
        <w:t xml:space="preserve">ei olnud võimalus tutvuda emaettevõtte </w:t>
      </w:r>
      <w:r w:rsidR="007145CD" w:rsidRPr="009B43E7">
        <w:rPr>
          <w:color w:val="000000" w:themeColor="text1"/>
          <w:szCs w:val="20"/>
        </w:rPr>
        <w:t xml:space="preserve">omanike </w:t>
      </w:r>
      <w:r w:rsidRPr="009B43E7">
        <w:rPr>
          <w:color w:val="000000" w:themeColor="text1"/>
          <w:szCs w:val="20"/>
        </w:rPr>
        <w:t>võimekus</w:t>
      </w:r>
      <w:r w:rsidR="00F90536" w:rsidRPr="009B43E7">
        <w:rPr>
          <w:color w:val="000000" w:themeColor="text1"/>
          <w:szCs w:val="20"/>
        </w:rPr>
        <w:t>ega</w:t>
      </w:r>
      <w:r w:rsidRPr="009B43E7">
        <w:rPr>
          <w:color w:val="000000" w:themeColor="text1"/>
          <w:szCs w:val="20"/>
        </w:rPr>
        <w:t xml:space="preserve"> majandusabi osutamiseks. Eeltoodust tulenevalt ei olnud meil võimalik hinnata, kas tegevuse jätkuvuse arvestuse alusprintsiibi kasutamine raamatupidamise aastaaruande koostamisel on põhjendatud või mitte.  </w:t>
      </w:r>
    </w:p>
    <w:p w14:paraId="7D38614B" w14:textId="77777777" w:rsidR="000801C2" w:rsidRDefault="000801C2" w:rsidP="00E2339E">
      <w:pPr>
        <w:pStyle w:val="BodyText"/>
        <w:spacing w:after="100" w:afterAutospacing="1"/>
      </w:pPr>
    </w:p>
    <w:p w14:paraId="058C2DA2" w14:textId="5A1B0DF1" w:rsidR="004E68EA" w:rsidRPr="007E4210" w:rsidRDefault="005173AE" w:rsidP="004E68EA">
      <w:pPr>
        <w:pStyle w:val="Heading3"/>
        <w:rPr>
          <w:i/>
          <w:lang w:bidi="he-IL"/>
        </w:rPr>
      </w:pPr>
      <w:r w:rsidRPr="008717AB">
        <w:rPr>
          <w:color w:val="000000" w:themeColor="text1"/>
        </w:rPr>
        <w:t>Juh</w:t>
      </w:r>
      <w:r w:rsidR="00521722" w:rsidRPr="008717AB">
        <w:rPr>
          <w:color w:val="000000" w:themeColor="text1"/>
        </w:rPr>
        <w:t xml:space="preserve">tkonna </w:t>
      </w:r>
      <w:r w:rsidR="004E68EA" w:rsidRPr="008717AB">
        <w:rPr>
          <w:color w:val="000000" w:themeColor="text1"/>
        </w:rPr>
        <w:t xml:space="preserve">ja nende, kelle ülesandeks on valitsemine, kohustused seoses </w:t>
      </w:r>
      <w:r w:rsidR="00E034C1" w:rsidRPr="008717AB">
        <w:rPr>
          <w:color w:val="000000" w:themeColor="text1"/>
        </w:rPr>
        <w:t xml:space="preserve">konsolideeritud </w:t>
      </w:r>
      <w:r w:rsidR="00944709" w:rsidRPr="008717AB">
        <w:rPr>
          <w:color w:val="000000" w:themeColor="text1"/>
          <w:szCs w:val="20"/>
        </w:rPr>
        <w:t xml:space="preserve">raamatupidamise </w:t>
      </w:r>
      <w:r w:rsidR="00944709" w:rsidRPr="007E4210">
        <w:rPr>
          <w:szCs w:val="20"/>
        </w:rPr>
        <w:t>aastaaruandega</w:t>
      </w:r>
    </w:p>
    <w:p w14:paraId="6DBF5EF0" w14:textId="1372BB37" w:rsidR="004E68EA" w:rsidRDefault="00773D17" w:rsidP="004E68EA">
      <w:pPr>
        <w:pStyle w:val="BodyText"/>
      </w:pPr>
      <w:r>
        <w:t>Juh</w:t>
      </w:r>
      <w:r w:rsidR="00521722">
        <w:t>tkond</w:t>
      </w:r>
      <w:r>
        <w:t xml:space="preserve"> </w:t>
      </w:r>
      <w:r w:rsidR="004E68EA">
        <w:t xml:space="preserve">vastutab </w:t>
      </w:r>
      <w:r w:rsidR="00DD49EA">
        <w:t xml:space="preserve">konsolideeritud </w:t>
      </w:r>
      <w:r w:rsidR="00F431D9" w:rsidRPr="00FA6A1B">
        <w:t>raamatupidamise aastaaruan</w:t>
      </w:r>
      <w:r w:rsidR="00F431D9">
        <w:t xml:space="preserve">de </w:t>
      </w:r>
      <w:r w:rsidR="004E68EA">
        <w:t xml:space="preserve"> koostamise ja õiglase esitamise eest </w:t>
      </w:r>
      <w:r w:rsidR="004E68EA" w:rsidRPr="007E4210">
        <w:t>kooskõlas</w:t>
      </w:r>
      <w:r w:rsidR="007E4210" w:rsidRPr="007E4210">
        <w:t xml:space="preserve"> </w:t>
      </w:r>
      <w:r w:rsidR="00794A41" w:rsidRPr="007E4210">
        <w:t>Eesti finantsaruandluse standardiga</w:t>
      </w:r>
      <w:r w:rsidR="00794A41" w:rsidRPr="007E4210">
        <w:rPr>
          <w:kern w:val="0"/>
        </w:rPr>
        <w:t xml:space="preserve"> </w:t>
      </w:r>
      <w:r w:rsidR="004E68EA" w:rsidRPr="007E4210">
        <w:t xml:space="preserve">ja sellise sisekontrolli eest, nagu </w:t>
      </w:r>
      <w:r w:rsidRPr="007E4210">
        <w:t>juh</w:t>
      </w:r>
      <w:r w:rsidR="00521722" w:rsidRPr="007E4210">
        <w:t>tkond</w:t>
      </w:r>
      <w:r w:rsidRPr="007E4210">
        <w:t xml:space="preserve"> </w:t>
      </w:r>
      <w:r w:rsidR="004E68EA" w:rsidRPr="007E4210">
        <w:t>peab vajalikuks, et võ</w:t>
      </w:r>
      <w:r w:rsidR="004E68EA">
        <w:t xml:space="preserve">imaldada kas pettusest või veast tulenevate oluliste väärkajastamisteta </w:t>
      </w:r>
      <w:r w:rsidR="004E3E81">
        <w:t xml:space="preserve">konsolideeritud </w:t>
      </w:r>
      <w:r w:rsidR="00A72422" w:rsidRPr="00FA6A1B">
        <w:t>raamatupidamise aastaaruan</w:t>
      </w:r>
      <w:r w:rsidR="00A72422">
        <w:t xml:space="preserve">de </w:t>
      </w:r>
      <w:r w:rsidR="004E68EA">
        <w:t>koostamist.</w:t>
      </w:r>
      <w:r w:rsidR="004E68EA">
        <w:rPr>
          <w:color w:val="000000"/>
        </w:rPr>
        <w:t xml:space="preserve"> </w:t>
      </w:r>
    </w:p>
    <w:p w14:paraId="23479AB0" w14:textId="77777777" w:rsidR="00E034C1" w:rsidRDefault="00E034C1" w:rsidP="00E034C1">
      <w:pPr>
        <w:pStyle w:val="BodyText"/>
      </w:pPr>
      <w:r>
        <w:t>Konsolideeritud r</w:t>
      </w:r>
      <w:r w:rsidRPr="00FA6A1B">
        <w:t>aamatupidamise aastaaruan</w:t>
      </w:r>
      <w:r>
        <w:t xml:space="preserve">de koostamisel on juhtkond kohustatud hindama grupi suutlikkust jätkata jätkuvalt tegutsevana, esitama infot, kui see on asjakohane, tegevuse jätkuvusega seotud asjaolude kohta ja kasutama tegevuse jätkuvuse arvestuse alusprintsiipi, välja arvatud juhul, kui juhtkond kavatseb kas </w:t>
      </w:r>
      <w:r>
        <w:rPr>
          <w:color w:val="000000"/>
        </w:rPr>
        <w:t>grupi likvideerida või tegevuse lõpetada või tal puudub sellele realistlik alternatiiv.</w:t>
      </w:r>
    </w:p>
    <w:p w14:paraId="0D060C4F" w14:textId="77777777" w:rsidR="00E034C1" w:rsidRDefault="00E034C1" w:rsidP="00E034C1">
      <w:pPr>
        <w:pStyle w:val="BodyText"/>
        <w:rPr>
          <w:spacing w:val="1"/>
        </w:rPr>
      </w:pPr>
      <w:r>
        <w:t>Need, kelle ülesandeks on valitsemine, vastutavad grupi raamatupidamise aruandlusprotsessi üle järelevalve teostamise eest.</w:t>
      </w:r>
      <w:r>
        <w:rPr>
          <w:vertAlign w:val="superscript"/>
        </w:rPr>
        <w:t xml:space="preserve"> </w:t>
      </w:r>
    </w:p>
    <w:p w14:paraId="0F743409" w14:textId="77777777" w:rsidR="000C5392" w:rsidRPr="008C4E61" w:rsidRDefault="000C5392" w:rsidP="000C5392">
      <w:pPr>
        <w:pStyle w:val="Heading3"/>
        <w:rPr>
          <w:lang w:bidi="he-IL"/>
        </w:rPr>
      </w:pPr>
      <w:r w:rsidRPr="008C4E61">
        <w:t>Vandeaudiitori kohustused seoses konsolideeritud r</w:t>
      </w:r>
      <w:r w:rsidRPr="008C4E61">
        <w:rPr>
          <w:szCs w:val="20"/>
        </w:rPr>
        <w:t>aamatupidamise aastaaruan</w:t>
      </w:r>
      <w:r w:rsidRPr="008C4E61">
        <w:t xml:space="preserve">de auditiga </w:t>
      </w:r>
    </w:p>
    <w:p w14:paraId="1CC7027B" w14:textId="77777777" w:rsidR="00DF4158" w:rsidRDefault="00DF4158" w:rsidP="00DF4158">
      <w:pPr>
        <w:widowControl w:val="0"/>
        <w:spacing w:before="60" w:after="60"/>
        <w:rPr>
          <w:kern w:val="20"/>
        </w:rPr>
      </w:pPr>
    </w:p>
    <w:p w14:paraId="78068296" w14:textId="1ADE80BB" w:rsidR="00522CD7" w:rsidRDefault="00522CD7" w:rsidP="00522CD7">
      <w:pPr>
        <w:autoSpaceDE w:val="0"/>
        <w:autoSpaceDN w:val="0"/>
        <w:adjustRightInd w:val="0"/>
        <w:spacing w:before="0" w:line="240" w:lineRule="auto"/>
        <w:rPr>
          <w:rFonts w:ascii="Times-Roman" w:eastAsiaTheme="minorHAnsi" w:hAnsi="Times-Roman" w:cs="Times-Roman"/>
          <w:szCs w:val="20"/>
          <w:lang w:eastAsia="en-US"/>
        </w:rPr>
      </w:pPr>
      <w:r w:rsidRPr="00587909">
        <w:rPr>
          <w:rFonts w:ascii="Times-Roman" w:eastAsiaTheme="minorHAnsi" w:hAnsi="Times-Roman" w:cs="Times-Roman"/>
          <w:szCs w:val="20"/>
          <w:lang w:eastAsia="en-US"/>
        </w:rPr>
        <w:t xml:space="preserve">Meie kohustus on teha </w:t>
      </w:r>
      <w:r>
        <w:rPr>
          <w:rFonts w:ascii="Times-Roman" w:eastAsiaTheme="minorHAnsi" w:hAnsi="Times-Roman" w:cs="Times-Roman"/>
          <w:szCs w:val="20"/>
          <w:lang w:eastAsia="en-US"/>
        </w:rPr>
        <w:t xml:space="preserve">grupi konsolideeritud </w:t>
      </w:r>
      <w:r w:rsidRPr="00587909">
        <w:rPr>
          <w:rFonts w:ascii="Times-Roman" w:eastAsiaTheme="minorHAnsi" w:hAnsi="Times-Roman" w:cs="Times-Roman"/>
          <w:szCs w:val="20"/>
          <w:lang w:eastAsia="en-US"/>
        </w:rPr>
        <w:t xml:space="preserve"> finantsaruannete audit kooskõlas rahvusvaheliste auditeerimise standarditega (Eesti) ja anda välja audiitori aruanne. Meie aruande arvamuse avaldamisest loobumise aluse osas kirjeldatud asjaolude märkimisväärsuse tõttu ei suutnud me siiski hankida piisavat asjakohast auditi tõendusmaterjali, mis annaks aluse avaldada </w:t>
      </w:r>
      <w:r w:rsidR="00861AA7">
        <w:rPr>
          <w:rFonts w:ascii="Times-Roman" w:eastAsiaTheme="minorHAnsi" w:hAnsi="Times-Roman" w:cs="Times-Roman"/>
          <w:szCs w:val="20"/>
          <w:lang w:eastAsia="en-US"/>
        </w:rPr>
        <w:t xml:space="preserve">konsolideeritud </w:t>
      </w:r>
      <w:r w:rsidRPr="00587909">
        <w:rPr>
          <w:rFonts w:ascii="Times-Roman" w:eastAsiaTheme="minorHAnsi" w:hAnsi="Times-Roman" w:cs="Times-Roman"/>
          <w:szCs w:val="20"/>
          <w:lang w:eastAsia="en-US"/>
        </w:rPr>
        <w:t>raamatupidamise aastaaruande kohta auditiarvamuse.</w:t>
      </w:r>
    </w:p>
    <w:p w14:paraId="5CFBFC8A" w14:textId="77777777" w:rsidR="005476F4" w:rsidRDefault="005476F4" w:rsidP="00522CD7">
      <w:pPr>
        <w:autoSpaceDE w:val="0"/>
        <w:autoSpaceDN w:val="0"/>
        <w:adjustRightInd w:val="0"/>
        <w:spacing w:before="0" w:line="240" w:lineRule="auto"/>
        <w:rPr>
          <w:rFonts w:ascii="Times-Roman" w:eastAsiaTheme="minorHAnsi" w:hAnsi="Times-Roman" w:cs="Times-Roman"/>
          <w:szCs w:val="20"/>
          <w:lang w:eastAsia="en-US"/>
        </w:rPr>
      </w:pPr>
    </w:p>
    <w:p w14:paraId="6C5AA66E" w14:textId="3E023E96" w:rsidR="005476F4" w:rsidRPr="00416C39" w:rsidRDefault="005476F4" w:rsidP="005476F4">
      <w:pPr>
        <w:pStyle w:val="BodyText"/>
        <w:rPr>
          <w:color w:val="000000" w:themeColor="text1"/>
          <w:lang w:bidi="he-IL"/>
        </w:rPr>
      </w:pPr>
      <w:r w:rsidRPr="00416C39">
        <w:rPr>
          <w:color w:val="000000" w:themeColor="text1"/>
          <w:lang w:bidi="he-IL"/>
        </w:rPr>
        <w:t xml:space="preserve">Me oleme </w:t>
      </w:r>
      <w:r w:rsidR="00A212E3" w:rsidRPr="00416C39">
        <w:rPr>
          <w:color w:val="000000" w:themeColor="text1"/>
          <w:lang w:bidi="he-IL"/>
        </w:rPr>
        <w:t>grupist</w:t>
      </w:r>
      <w:r w:rsidRPr="00416C39">
        <w:rPr>
          <w:color w:val="000000" w:themeColor="text1"/>
          <w:lang w:bidi="he-IL"/>
        </w:rPr>
        <w:t xml:space="preserve"> sõltumatud kooskõlas kutseliste arvestusekspertide eetikakoodeksiga (Eesti) (sh sõltumatuse standardid), ja oleme täitnud oma muud eetikaalased kohustused vastavalt nendele nõuetele. </w:t>
      </w:r>
    </w:p>
    <w:p w14:paraId="6CAFC3DF" w14:textId="77777777" w:rsidR="005476F4" w:rsidRPr="00416C39" w:rsidRDefault="005476F4" w:rsidP="005476F4">
      <w:pPr>
        <w:pStyle w:val="BodyText"/>
        <w:rPr>
          <w:color w:val="000000" w:themeColor="text1"/>
          <w:lang w:bidi="he-IL"/>
        </w:rPr>
      </w:pPr>
    </w:p>
    <w:p w14:paraId="01C48CD0" w14:textId="77777777" w:rsidR="005476F4" w:rsidRPr="00587909" w:rsidRDefault="005476F4" w:rsidP="00522CD7">
      <w:pPr>
        <w:autoSpaceDE w:val="0"/>
        <w:autoSpaceDN w:val="0"/>
        <w:adjustRightInd w:val="0"/>
        <w:spacing w:before="0" w:line="240" w:lineRule="auto"/>
        <w:rPr>
          <w:rFonts w:ascii="Times-Roman" w:eastAsiaTheme="minorHAnsi" w:hAnsi="Times-Roman" w:cs="Times-Roman"/>
          <w:szCs w:val="20"/>
          <w:lang w:eastAsia="en-US"/>
        </w:rPr>
      </w:pPr>
    </w:p>
    <w:p w14:paraId="7E084977" w14:textId="77777777" w:rsidR="00F736AB" w:rsidRPr="008C4E61" w:rsidRDefault="00F736AB" w:rsidP="00DF4158">
      <w:pPr>
        <w:widowControl w:val="0"/>
        <w:spacing w:before="60" w:after="60"/>
        <w:rPr>
          <w:szCs w:val="20"/>
        </w:rPr>
      </w:pPr>
    </w:p>
    <w:p w14:paraId="424BCD17" w14:textId="7DC90036" w:rsidR="005529BF" w:rsidRPr="008717AB" w:rsidRDefault="008717AB" w:rsidP="005529BF">
      <w:pPr>
        <w:autoSpaceDE w:val="0"/>
        <w:autoSpaceDN w:val="0"/>
        <w:adjustRightInd w:val="0"/>
        <w:spacing w:before="0" w:line="240" w:lineRule="auto"/>
        <w:jc w:val="left"/>
        <w:rPr>
          <w:rFonts w:eastAsiaTheme="minorHAnsi"/>
          <w:i/>
          <w:color w:val="000000" w:themeColor="text1"/>
          <w:szCs w:val="20"/>
          <w:lang w:eastAsia="en-US"/>
        </w:rPr>
      </w:pPr>
      <w:r w:rsidRPr="008717AB">
        <w:rPr>
          <w:rFonts w:eastAsiaTheme="minorHAnsi"/>
          <w:i/>
          <w:color w:val="000000" w:themeColor="text1"/>
          <w:szCs w:val="20"/>
          <w:lang w:eastAsia="en-US"/>
        </w:rPr>
        <w:t>Eve Leppik</w:t>
      </w:r>
    </w:p>
    <w:p w14:paraId="509272F1" w14:textId="797C5ED7" w:rsidR="005529BF" w:rsidRPr="008717AB" w:rsidRDefault="005529BF" w:rsidP="005529BF">
      <w:pPr>
        <w:autoSpaceDE w:val="0"/>
        <w:autoSpaceDN w:val="0"/>
        <w:adjustRightInd w:val="0"/>
        <w:spacing w:before="0" w:line="240" w:lineRule="auto"/>
        <w:jc w:val="left"/>
        <w:rPr>
          <w:rFonts w:eastAsiaTheme="minorHAnsi"/>
          <w:i/>
          <w:color w:val="000000" w:themeColor="text1"/>
          <w:szCs w:val="20"/>
          <w:lang w:eastAsia="en-US"/>
        </w:rPr>
      </w:pPr>
      <w:r w:rsidRPr="008717AB">
        <w:rPr>
          <w:rFonts w:eastAsiaTheme="minorHAnsi"/>
          <w:i/>
          <w:color w:val="000000" w:themeColor="text1"/>
          <w:szCs w:val="20"/>
          <w:lang w:eastAsia="en-US"/>
        </w:rPr>
        <w:t>Vandeaudiitori number</w:t>
      </w:r>
      <w:r w:rsidR="008717AB" w:rsidRPr="008717AB">
        <w:rPr>
          <w:rFonts w:eastAsiaTheme="minorHAnsi"/>
          <w:i/>
          <w:color w:val="000000" w:themeColor="text1"/>
          <w:szCs w:val="20"/>
          <w:lang w:eastAsia="en-US"/>
        </w:rPr>
        <w:t xml:space="preserve"> 230</w:t>
      </w:r>
    </w:p>
    <w:p w14:paraId="2FE308EF" w14:textId="5F7541D6" w:rsidR="005529BF" w:rsidRPr="008717AB" w:rsidRDefault="008717AB" w:rsidP="005529BF">
      <w:pPr>
        <w:autoSpaceDE w:val="0"/>
        <w:autoSpaceDN w:val="0"/>
        <w:adjustRightInd w:val="0"/>
        <w:spacing w:before="0" w:line="240" w:lineRule="auto"/>
        <w:jc w:val="left"/>
        <w:rPr>
          <w:rFonts w:eastAsiaTheme="minorHAnsi"/>
          <w:i/>
          <w:color w:val="000000" w:themeColor="text1"/>
          <w:szCs w:val="20"/>
          <w:lang w:eastAsia="en-US"/>
        </w:rPr>
      </w:pPr>
      <w:r w:rsidRPr="008717AB">
        <w:rPr>
          <w:rFonts w:eastAsiaTheme="minorHAnsi"/>
          <w:i/>
          <w:color w:val="000000" w:themeColor="text1"/>
          <w:szCs w:val="20"/>
          <w:lang w:eastAsia="en-US"/>
        </w:rPr>
        <w:t>Number RT OÜ</w:t>
      </w:r>
    </w:p>
    <w:p w14:paraId="5F0645CC" w14:textId="1F81E204" w:rsidR="005529BF" w:rsidRPr="008717AB" w:rsidRDefault="005529BF" w:rsidP="005529BF">
      <w:pPr>
        <w:autoSpaceDE w:val="0"/>
        <w:autoSpaceDN w:val="0"/>
        <w:adjustRightInd w:val="0"/>
        <w:spacing w:before="0" w:line="240" w:lineRule="auto"/>
        <w:jc w:val="left"/>
        <w:rPr>
          <w:rFonts w:eastAsiaTheme="minorHAnsi"/>
          <w:i/>
          <w:color w:val="000000" w:themeColor="text1"/>
          <w:szCs w:val="20"/>
          <w:lang w:eastAsia="en-US"/>
        </w:rPr>
      </w:pPr>
      <w:r w:rsidRPr="008717AB">
        <w:rPr>
          <w:rFonts w:eastAsiaTheme="minorHAnsi"/>
          <w:i/>
          <w:color w:val="000000" w:themeColor="text1"/>
          <w:szCs w:val="20"/>
          <w:lang w:eastAsia="en-US"/>
        </w:rPr>
        <w:t>Audiitorettevõtja tegevusloa number</w:t>
      </w:r>
      <w:r w:rsidR="008717AB" w:rsidRPr="008717AB">
        <w:rPr>
          <w:rFonts w:eastAsiaTheme="minorHAnsi"/>
          <w:i/>
          <w:color w:val="000000" w:themeColor="text1"/>
          <w:szCs w:val="20"/>
          <w:lang w:eastAsia="en-US"/>
        </w:rPr>
        <w:t xml:space="preserve"> 263</w:t>
      </w:r>
    </w:p>
    <w:p w14:paraId="24A7BD16" w14:textId="58136091" w:rsidR="005529BF" w:rsidRPr="008717AB" w:rsidRDefault="005529BF" w:rsidP="008856AF">
      <w:pPr>
        <w:autoSpaceDE w:val="0"/>
        <w:autoSpaceDN w:val="0"/>
        <w:adjustRightInd w:val="0"/>
        <w:spacing w:before="0" w:line="240" w:lineRule="auto"/>
        <w:jc w:val="left"/>
        <w:rPr>
          <w:i/>
          <w:color w:val="000000" w:themeColor="text1"/>
        </w:rPr>
      </w:pPr>
      <w:r w:rsidRPr="008717AB">
        <w:rPr>
          <w:rFonts w:eastAsiaTheme="minorHAnsi"/>
          <w:i/>
          <w:color w:val="000000" w:themeColor="text1"/>
          <w:szCs w:val="20"/>
          <w:lang w:eastAsia="en-US"/>
        </w:rPr>
        <w:t>Audiitorettevõtja asukoha aadress</w:t>
      </w:r>
    </w:p>
    <w:p w14:paraId="7690D560" w14:textId="77777777" w:rsidR="00837389" w:rsidRPr="008717AB" w:rsidRDefault="005529BF" w:rsidP="0067242F">
      <w:pPr>
        <w:spacing w:before="0" w:line="240" w:lineRule="auto"/>
        <w:rPr>
          <w:color w:val="000000" w:themeColor="text1"/>
        </w:rPr>
      </w:pPr>
      <w:r w:rsidRPr="008717AB">
        <w:rPr>
          <w:rFonts w:eastAsiaTheme="minorHAnsi"/>
          <w:i/>
          <w:color w:val="000000" w:themeColor="text1"/>
          <w:szCs w:val="20"/>
          <w:lang w:eastAsia="en-US"/>
        </w:rPr>
        <w:t>Vandeaudiitori aruande kuupäev</w:t>
      </w:r>
    </w:p>
    <w:sectPr w:rsidR="00837389" w:rsidRPr="008717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E4907" w14:textId="77777777" w:rsidR="009969AE" w:rsidRDefault="009969AE" w:rsidP="004E68EA">
      <w:pPr>
        <w:spacing w:before="0" w:line="240" w:lineRule="auto"/>
      </w:pPr>
      <w:r>
        <w:separator/>
      </w:r>
    </w:p>
  </w:endnote>
  <w:endnote w:type="continuationSeparator" w:id="0">
    <w:p w14:paraId="501C34A6" w14:textId="77777777" w:rsidR="009969AE" w:rsidRDefault="009969AE" w:rsidP="004E68EA">
      <w:pPr>
        <w:spacing w:before="0" w:line="240" w:lineRule="auto"/>
      </w:pPr>
      <w:r>
        <w:continuationSeparator/>
      </w:r>
    </w:p>
  </w:endnote>
  <w:endnote w:type="continuationNotice" w:id="1">
    <w:p w14:paraId="18C30266" w14:textId="77777777" w:rsidR="009969AE" w:rsidRDefault="009969A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500000000020000"/>
    <w:charset w:val="00"/>
    <w:family w:val="auto"/>
    <w:notTrueType/>
    <w:pitch w:val="default"/>
    <w:sig w:usb0="00000003" w:usb1="00000000" w:usb2="00000000" w:usb3="00000000" w:csb0="00000001" w:csb1="00000000"/>
  </w:font>
  <w:font w:name="Times-Bold">
    <w:altName w:val="Times New Roman"/>
    <w:panose1 w:val="0000080000000002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46BA" w14:textId="77777777" w:rsidR="009969AE" w:rsidRDefault="009969AE" w:rsidP="004E68EA">
      <w:pPr>
        <w:spacing w:before="0" w:line="240" w:lineRule="auto"/>
      </w:pPr>
      <w:r>
        <w:separator/>
      </w:r>
    </w:p>
  </w:footnote>
  <w:footnote w:type="continuationSeparator" w:id="0">
    <w:p w14:paraId="189A1131" w14:textId="77777777" w:rsidR="009969AE" w:rsidRDefault="009969AE" w:rsidP="004E68EA">
      <w:pPr>
        <w:spacing w:before="0" w:line="240" w:lineRule="auto"/>
      </w:pPr>
      <w:r>
        <w:continuationSeparator/>
      </w:r>
    </w:p>
  </w:footnote>
  <w:footnote w:type="continuationNotice" w:id="1">
    <w:p w14:paraId="2DBBBCF8" w14:textId="77777777" w:rsidR="009969AE" w:rsidRDefault="009969A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FF16FBA"/>
    <w:multiLevelType w:val="hybridMultilevel"/>
    <w:tmpl w:val="6DF23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9160862">
    <w:abstractNumId w:val="0"/>
  </w:num>
  <w:num w:numId="2" w16cid:durableId="973680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EA"/>
    <w:rsid w:val="00070336"/>
    <w:rsid w:val="0007225B"/>
    <w:rsid w:val="000801C2"/>
    <w:rsid w:val="000928EF"/>
    <w:rsid w:val="000C13CF"/>
    <w:rsid w:val="000C5392"/>
    <w:rsid w:val="000C5629"/>
    <w:rsid w:val="000C5872"/>
    <w:rsid w:val="000D0300"/>
    <w:rsid w:val="000F7E4E"/>
    <w:rsid w:val="00100F46"/>
    <w:rsid w:val="00101AB4"/>
    <w:rsid w:val="00137067"/>
    <w:rsid w:val="00154B71"/>
    <w:rsid w:val="00156219"/>
    <w:rsid w:val="00182DBD"/>
    <w:rsid w:val="0019532D"/>
    <w:rsid w:val="001A6C14"/>
    <w:rsid w:val="001A72DD"/>
    <w:rsid w:val="001B11EB"/>
    <w:rsid w:val="001C48A7"/>
    <w:rsid w:val="001D3986"/>
    <w:rsid w:val="001F07A4"/>
    <w:rsid w:val="00200C54"/>
    <w:rsid w:val="00231FB7"/>
    <w:rsid w:val="00242DAA"/>
    <w:rsid w:val="00256CD9"/>
    <w:rsid w:val="00271CDD"/>
    <w:rsid w:val="00280EB1"/>
    <w:rsid w:val="00292069"/>
    <w:rsid w:val="002A025F"/>
    <w:rsid w:val="002A58F7"/>
    <w:rsid w:val="002C1C0B"/>
    <w:rsid w:val="002D6558"/>
    <w:rsid w:val="002E0E99"/>
    <w:rsid w:val="003131D3"/>
    <w:rsid w:val="00313AB7"/>
    <w:rsid w:val="00321D24"/>
    <w:rsid w:val="00327D16"/>
    <w:rsid w:val="0033249A"/>
    <w:rsid w:val="003630BB"/>
    <w:rsid w:val="0036627B"/>
    <w:rsid w:val="00367E1A"/>
    <w:rsid w:val="00370EAE"/>
    <w:rsid w:val="00375584"/>
    <w:rsid w:val="003C1C5B"/>
    <w:rsid w:val="003C45BB"/>
    <w:rsid w:val="003C4BE1"/>
    <w:rsid w:val="003E64DE"/>
    <w:rsid w:val="003F425B"/>
    <w:rsid w:val="00415117"/>
    <w:rsid w:val="00416C39"/>
    <w:rsid w:val="00417A70"/>
    <w:rsid w:val="00457138"/>
    <w:rsid w:val="00486A8F"/>
    <w:rsid w:val="004C382A"/>
    <w:rsid w:val="004E3E81"/>
    <w:rsid w:val="004E68EA"/>
    <w:rsid w:val="004E6B59"/>
    <w:rsid w:val="00501314"/>
    <w:rsid w:val="0051280A"/>
    <w:rsid w:val="005173AE"/>
    <w:rsid w:val="00521722"/>
    <w:rsid w:val="00522CD7"/>
    <w:rsid w:val="005256C6"/>
    <w:rsid w:val="00532AA9"/>
    <w:rsid w:val="005476F4"/>
    <w:rsid w:val="00547DE1"/>
    <w:rsid w:val="005529BF"/>
    <w:rsid w:val="00556559"/>
    <w:rsid w:val="005628F0"/>
    <w:rsid w:val="0058014D"/>
    <w:rsid w:val="005828A1"/>
    <w:rsid w:val="005952D2"/>
    <w:rsid w:val="005A40F2"/>
    <w:rsid w:val="005B4E6E"/>
    <w:rsid w:val="005D5151"/>
    <w:rsid w:val="005E690E"/>
    <w:rsid w:val="005F4ABC"/>
    <w:rsid w:val="005F592C"/>
    <w:rsid w:val="00601ABE"/>
    <w:rsid w:val="00611097"/>
    <w:rsid w:val="00632950"/>
    <w:rsid w:val="00635451"/>
    <w:rsid w:val="00644264"/>
    <w:rsid w:val="00647573"/>
    <w:rsid w:val="006504F7"/>
    <w:rsid w:val="006525C4"/>
    <w:rsid w:val="0066373F"/>
    <w:rsid w:val="0067242F"/>
    <w:rsid w:val="006911D9"/>
    <w:rsid w:val="006A2855"/>
    <w:rsid w:val="006B6E64"/>
    <w:rsid w:val="006D2AB3"/>
    <w:rsid w:val="007060C7"/>
    <w:rsid w:val="007145CD"/>
    <w:rsid w:val="00716926"/>
    <w:rsid w:val="00720781"/>
    <w:rsid w:val="0074246F"/>
    <w:rsid w:val="00755B97"/>
    <w:rsid w:val="007562DB"/>
    <w:rsid w:val="007706A6"/>
    <w:rsid w:val="00773D17"/>
    <w:rsid w:val="00780A0F"/>
    <w:rsid w:val="00783184"/>
    <w:rsid w:val="00785323"/>
    <w:rsid w:val="00794A41"/>
    <w:rsid w:val="007A3266"/>
    <w:rsid w:val="007B1690"/>
    <w:rsid w:val="007B4E5F"/>
    <w:rsid w:val="007B7ED9"/>
    <w:rsid w:val="007D48DC"/>
    <w:rsid w:val="007E4210"/>
    <w:rsid w:val="007F279D"/>
    <w:rsid w:val="008166FB"/>
    <w:rsid w:val="008208C5"/>
    <w:rsid w:val="00837188"/>
    <w:rsid w:val="00837389"/>
    <w:rsid w:val="00855328"/>
    <w:rsid w:val="00861AA7"/>
    <w:rsid w:val="00865AEC"/>
    <w:rsid w:val="008717AB"/>
    <w:rsid w:val="00877C18"/>
    <w:rsid w:val="008853E4"/>
    <w:rsid w:val="008856AF"/>
    <w:rsid w:val="008959AD"/>
    <w:rsid w:val="008A17F2"/>
    <w:rsid w:val="008A6216"/>
    <w:rsid w:val="008A6FDA"/>
    <w:rsid w:val="008C3508"/>
    <w:rsid w:val="008C3FB5"/>
    <w:rsid w:val="008D28DA"/>
    <w:rsid w:val="00924C5E"/>
    <w:rsid w:val="00931F18"/>
    <w:rsid w:val="00933110"/>
    <w:rsid w:val="009335E5"/>
    <w:rsid w:val="00933938"/>
    <w:rsid w:val="00944709"/>
    <w:rsid w:val="009672A1"/>
    <w:rsid w:val="00972ACD"/>
    <w:rsid w:val="009757C8"/>
    <w:rsid w:val="00980931"/>
    <w:rsid w:val="00981BB7"/>
    <w:rsid w:val="0098338F"/>
    <w:rsid w:val="009969AE"/>
    <w:rsid w:val="009A5F4E"/>
    <w:rsid w:val="009B43E7"/>
    <w:rsid w:val="009D3FCD"/>
    <w:rsid w:val="00A212E3"/>
    <w:rsid w:val="00A27A00"/>
    <w:rsid w:val="00A53A4D"/>
    <w:rsid w:val="00A53B95"/>
    <w:rsid w:val="00A57F64"/>
    <w:rsid w:val="00A63F40"/>
    <w:rsid w:val="00A72422"/>
    <w:rsid w:val="00A7360E"/>
    <w:rsid w:val="00A85E10"/>
    <w:rsid w:val="00AA0D2A"/>
    <w:rsid w:val="00AC7ED0"/>
    <w:rsid w:val="00AE66C8"/>
    <w:rsid w:val="00AF59D7"/>
    <w:rsid w:val="00AF614C"/>
    <w:rsid w:val="00B12D77"/>
    <w:rsid w:val="00B13955"/>
    <w:rsid w:val="00B1730C"/>
    <w:rsid w:val="00B211BE"/>
    <w:rsid w:val="00B279A4"/>
    <w:rsid w:val="00B27ABF"/>
    <w:rsid w:val="00B4158F"/>
    <w:rsid w:val="00B56AB5"/>
    <w:rsid w:val="00B63E7D"/>
    <w:rsid w:val="00B80EB7"/>
    <w:rsid w:val="00B82F7A"/>
    <w:rsid w:val="00B83281"/>
    <w:rsid w:val="00BA2CEE"/>
    <w:rsid w:val="00BA3B50"/>
    <w:rsid w:val="00BA686B"/>
    <w:rsid w:val="00BB0947"/>
    <w:rsid w:val="00BC1BAC"/>
    <w:rsid w:val="00C06BFC"/>
    <w:rsid w:val="00C11DAD"/>
    <w:rsid w:val="00C6663A"/>
    <w:rsid w:val="00C70A32"/>
    <w:rsid w:val="00CE7082"/>
    <w:rsid w:val="00D05C9D"/>
    <w:rsid w:val="00D077B3"/>
    <w:rsid w:val="00D70541"/>
    <w:rsid w:val="00D72F09"/>
    <w:rsid w:val="00D854B0"/>
    <w:rsid w:val="00DA3AA4"/>
    <w:rsid w:val="00DB21E4"/>
    <w:rsid w:val="00DD49EA"/>
    <w:rsid w:val="00DD6C49"/>
    <w:rsid w:val="00DD7025"/>
    <w:rsid w:val="00DF1B50"/>
    <w:rsid w:val="00DF4009"/>
    <w:rsid w:val="00DF4158"/>
    <w:rsid w:val="00E034C1"/>
    <w:rsid w:val="00E1471F"/>
    <w:rsid w:val="00E2339E"/>
    <w:rsid w:val="00E25A3F"/>
    <w:rsid w:val="00E43576"/>
    <w:rsid w:val="00E5731B"/>
    <w:rsid w:val="00E61A0B"/>
    <w:rsid w:val="00E623A0"/>
    <w:rsid w:val="00E779F4"/>
    <w:rsid w:val="00E970A2"/>
    <w:rsid w:val="00EA1F6F"/>
    <w:rsid w:val="00EB469F"/>
    <w:rsid w:val="00EB6C54"/>
    <w:rsid w:val="00EE1DCE"/>
    <w:rsid w:val="00EE72C9"/>
    <w:rsid w:val="00F03AA7"/>
    <w:rsid w:val="00F17446"/>
    <w:rsid w:val="00F313B8"/>
    <w:rsid w:val="00F431D9"/>
    <w:rsid w:val="00F736AB"/>
    <w:rsid w:val="00F85804"/>
    <w:rsid w:val="00F90536"/>
    <w:rsid w:val="00F92A6D"/>
    <w:rsid w:val="00FA4676"/>
    <w:rsid w:val="00FA6A1B"/>
    <w:rsid w:val="00FB2552"/>
    <w:rsid w:val="00FE298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8BDE"/>
  <w15:docId w15:val="{049CDA6E-F4E8-4F48-822E-5E2DDBF3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EA"/>
    <w:pPr>
      <w:spacing w:before="120" w:after="0" w:line="240" w:lineRule="exact"/>
      <w:jc w:val="both"/>
    </w:pPr>
    <w:rPr>
      <w:rFonts w:ascii="Times New Roman" w:eastAsia="Arial" w:hAnsi="Times New Roman" w:cs="Times New Roman"/>
      <w:sz w:val="20"/>
      <w:szCs w:val="24"/>
      <w:lang w:eastAsia="et-EE"/>
    </w:rPr>
  </w:style>
  <w:style w:type="paragraph" w:styleId="Heading2">
    <w:name w:val="heading 2"/>
    <w:basedOn w:val="Normal"/>
    <w:next w:val="Normal"/>
    <w:link w:val="Heading2Char"/>
    <w:uiPriority w:val="9"/>
    <w:semiHidden/>
    <w:unhideWhenUsed/>
    <w:qFormat/>
    <w:rsid w:val="004E68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4E68EA"/>
    <w:pPr>
      <w:keepNext/>
      <w:keepLines/>
      <w:spacing w:before="180"/>
      <w:jc w:val="left"/>
      <w:outlineLvl w:val="2"/>
    </w:pPr>
    <w:rPr>
      <w:rFonts w:eastAsia="Times New Roman"/>
      <w:b/>
      <w:bCs/>
      <w:kern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68EA"/>
    <w:rPr>
      <w:rFonts w:ascii="Times New Roman" w:eastAsia="Times New Roman" w:hAnsi="Times New Roman" w:cs="Times New Roman"/>
      <w:b/>
      <w:bCs/>
      <w:kern w:val="20"/>
      <w:sz w:val="20"/>
      <w:szCs w:val="26"/>
      <w:lang w:eastAsia="et-EE"/>
    </w:rPr>
  </w:style>
  <w:style w:type="paragraph" w:styleId="BodyText">
    <w:name w:val="Body Text"/>
    <w:aliases w:val="bt,Body Text Char1,Body Text Char Char,Body Text Char1 Char,Body Text Char Char Char"/>
    <w:basedOn w:val="Normal"/>
    <w:link w:val="BodyTextChar"/>
    <w:qFormat/>
    <w:rsid w:val="004E68EA"/>
    <w:rPr>
      <w:rFonts w:eastAsia="Times New Roman"/>
      <w:kern w:val="20"/>
      <w:szCs w:val="20"/>
    </w:rPr>
  </w:style>
  <w:style w:type="character" w:customStyle="1" w:styleId="BodyTextChar">
    <w:name w:val="Body Text Char"/>
    <w:aliases w:val="bt Char,Body Text Char1 Char1,Body Text Char Char Char1,Body Text Char1 Char Char,Body Text Char Char Char Char"/>
    <w:basedOn w:val="DefaultParagraphFont"/>
    <w:link w:val="BodyText"/>
    <w:rsid w:val="004E68EA"/>
    <w:rPr>
      <w:rFonts w:ascii="Times New Roman" w:eastAsia="Times New Roman" w:hAnsi="Times New Roman" w:cs="Times New Roman"/>
      <w:kern w:val="20"/>
      <w:sz w:val="20"/>
      <w:szCs w:val="20"/>
      <w:lang w:eastAsia="et-EE"/>
    </w:rPr>
  </w:style>
  <w:style w:type="paragraph" w:customStyle="1" w:styleId="Heading2ChapterHeading">
    <w:name w:val="Heading 2 Chapter Heading"/>
    <w:aliases w:val="h2"/>
    <w:basedOn w:val="Heading2"/>
    <w:autoRedefine/>
    <w:qFormat/>
    <w:rsid w:val="004E68EA"/>
    <w:pPr>
      <w:spacing w:before="480" w:after="240" w:line="280" w:lineRule="exact"/>
      <w:jc w:val="center"/>
    </w:pPr>
    <w:rPr>
      <w:rFonts w:ascii="Times New Roman" w:eastAsia="Times New Roman" w:hAnsi="Times New Roman" w:cs="Times New Roman"/>
      <w:color w:val="auto"/>
      <w:kern w:val="20"/>
      <w:sz w:val="24"/>
      <w:szCs w:val="28"/>
    </w:rPr>
  </w:style>
  <w:style w:type="paragraph" w:styleId="FootnoteText">
    <w:name w:val="footnote text"/>
    <w:aliases w:val="ARM footnote Text,Footnote Text Char2,Footnote Text Char11,Footnote Text Char3,Footnote Text Char4,Footnote Text Char5,Footnote Text Char6,Footnote Text Char12,Footnote Text Char21,Footnote New, Char,Footnote, Cha,Cha,C,Char, C"/>
    <w:basedOn w:val="Normal"/>
    <w:link w:val="FootnoteTextChar"/>
    <w:unhideWhenUsed/>
    <w:rsid w:val="004E68EA"/>
    <w:pPr>
      <w:spacing w:before="60"/>
      <w:ind w:left="360" w:hanging="360"/>
    </w:pPr>
    <w:rPr>
      <w:sz w:val="16"/>
      <w:szCs w:val="20"/>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rsid w:val="004E68EA"/>
    <w:rPr>
      <w:rFonts w:ascii="Times New Roman" w:eastAsia="Arial" w:hAnsi="Times New Roman" w:cs="Times New Roman"/>
      <w:sz w:val="16"/>
      <w:szCs w:val="20"/>
      <w:lang w:eastAsia="et-EE"/>
    </w:rPr>
  </w:style>
  <w:style w:type="character" w:styleId="FootnoteReference">
    <w:name w:val="footnote reference"/>
    <w:aliases w:val="Footnote reference number,Footnote symbol,note TESI"/>
    <w:uiPriority w:val="99"/>
    <w:unhideWhenUsed/>
    <w:rsid w:val="004E68EA"/>
    <w:rPr>
      <w:vertAlign w:val="superscript"/>
      <w:lang w:val="et-EE" w:eastAsia="et-EE"/>
    </w:rPr>
  </w:style>
  <w:style w:type="character" w:customStyle="1" w:styleId="Heading2Char">
    <w:name w:val="Heading 2 Char"/>
    <w:basedOn w:val="DefaultParagraphFont"/>
    <w:link w:val="Heading2"/>
    <w:uiPriority w:val="9"/>
    <w:semiHidden/>
    <w:rsid w:val="004E68EA"/>
    <w:rPr>
      <w:rFonts w:asciiTheme="majorHAnsi" w:eastAsiaTheme="majorEastAsia" w:hAnsiTheme="majorHAnsi" w:cstheme="majorBidi"/>
      <w:b/>
      <w:bCs/>
      <w:color w:val="4F81BD" w:themeColor="accent1"/>
      <w:sz w:val="26"/>
      <w:szCs w:val="26"/>
      <w:lang w:eastAsia="et-EE"/>
    </w:rPr>
  </w:style>
  <w:style w:type="paragraph" w:styleId="BalloonText">
    <w:name w:val="Balloon Text"/>
    <w:basedOn w:val="Normal"/>
    <w:link w:val="BalloonTextChar"/>
    <w:uiPriority w:val="99"/>
    <w:semiHidden/>
    <w:unhideWhenUsed/>
    <w:rsid w:val="00FA6A1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A1B"/>
    <w:rPr>
      <w:rFonts w:ascii="Tahoma" w:eastAsia="Arial" w:hAnsi="Tahoma" w:cs="Tahoma"/>
      <w:sz w:val="16"/>
      <w:szCs w:val="16"/>
      <w:lang w:eastAsia="et-EE"/>
    </w:rPr>
  </w:style>
  <w:style w:type="character" w:styleId="CommentReference">
    <w:name w:val="annotation reference"/>
    <w:basedOn w:val="DefaultParagraphFont"/>
    <w:uiPriority w:val="99"/>
    <w:semiHidden/>
    <w:unhideWhenUsed/>
    <w:rsid w:val="0074246F"/>
    <w:rPr>
      <w:sz w:val="16"/>
      <w:szCs w:val="16"/>
    </w:rPr>
  </w:style>
  <w:style w:type="paragraph" w:styleId="CommentText">
    <w:name w:val="annotation text"/>
    <w:basedOn w:val="Normal"/>
    <w:link w:val="CommentTextChar"/>
    <w:uiPriority w:val="99"/>
    <w:unhideWhenUsed/>
    <w:rsid w:val="0074246F"/>
    <w:pPr>
      <w:spacing w:line="240" w:lineRule="auto"/>
    </w:pPr>
    <w:rPr>
      <w:szCs w:val="20"/>
    </w:rPr>
  </w:style>
  <w:style w:type="character" w:customStyle="1" w:styleId="CommentTextChar">
    <w:name w:val="Comment Text Char"/>
    <w:basedOn w:val="DefaultParagraphFont"/>
    <w:link w:val="CommentText"/>
    <w:uiPriority w:val="99"/>
    <w:rsid w:val="0074246F"/>
    <w:rPr>
      <w:rFonts w:ascii="Times New Roman" w:eastAsia="Arial"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74246F"/>
    <w:rPr>
      <w:b/>
      <w:bCs/>
    </w:rPr>
  </w:style>
  <w:style w:type="character" w:customStyle="1" w:styleId="CommentSubjectChar">
    <w:name w:val="Comment Subject Char"/>
    <w:basedOn w:val="CommentTextChar"/>
    <w:link w:val="CommentSubject"/>
    <w:uiPriority w:val="99"/>
    <w:semiHidden/>
    <w:rsid w:val="0074246F"/>
    <w:rPr>
      <w:rFonts w:ascii="Times New Roman" w:eastAsia="Arial" w:hAnsi="Times New Roman" w:cs="Times New Roman"/>
      <w:b/>
      <w:bCs/>
      <w:sz w:val="20"/>
      <w:szCs w:val="20"/>
      <w:lang w:eastAsia="et-EE"/>
    </w:rPr>
  </w:style>
  <w:style w:type="table" w:styleId="TableGrid">
    <w:name w:val="Table Grid"/>
    <w:basedOn w:val="TableNormal"/>
    <w:uiPriority w:val="59"/>
    <w:rsid w:val="00BC1BA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592C"/>
    <w:pPr>
      <w:tabs>
        <w:tab w:val="center" w:pos="4536"/>
        <w:tab w:val="right" w:pos="9072"/>
      </w:tabs>
      <w:spacing w:before="0" w:line="240" w:lineRule="auto"/>
    </w:pPr>
  </w:style>
  <w:style w:type="character" w:customStyle="1" w:styleId="HeaderChar">
    <w:name w:val="Header Char"/>
    <w:basedOn w:val="DefaultParagraphFont"/>
    <w:link w:val="Header"/>
    <w:uiPriority w:val="99"/>
    <w:rsid w:val="005F592C"/>
    <w:rPr>
      <w:rFonts w:ascii="Times New Roman" w:eastAsia="Arial" w:hAnsi="Times New Roman" w:cs="Times New Roman"/>
      <w:sz w:val="20"/>
      <w:szCs w:val="24"/>
      <w:lang w:eastAsia="et-EE"/>
    </w:rPr>
  </w:style>
  <w:style w:type="paragraph" w:styleId="Footer">
    <w:name w:val="footer"/>
    <w:basedOn w:val="Normal"/>
    <w:link w:val="FooterChar"/>
    <w:uiPriority w:val="99"/>
    <w:unhideWhenUsed/>
    <w:rsid w:val="005F592C"/>
    <w:pPr>
      <w:tabs>
        <w:tab w:val="center" w:pos="4536"/>
        <w:tab w:val="right" w:pos="9072"/>
      </w:tabs>
      <w:spacing w:before="0" w:line="240" w:lineRule="auto"/>
    </w:pPr>
  </w:style>
  <w:style w:type="character" w:customStyle="1" w:styleId="FooterChar">
    <w:name w:val="Footer Char"/>
    <w:basedOn w:val="DefaultParagraphFont"/>
    <w:link w:val="Footer"/>
    <w:uiPriority w:val="99"/>
    <w:rsid w:val="005F592C"/>
    <w:rPr>
      <w:rFonts w:ascii="Times New Roman" w:eastAsia="Arial" w:hAnsi="Times New Roman" w:cs="Times New Roman"/>
      <w:sz w:val="20"/>
      <w:szCs w:val="24"/>
      <w:lang w:eastAsia="et-EE"/>
    </w:rPr>
  </w:style>
  <w:style w:type="paragraph" w:styleId="ListParagraph">
    <w:name w:val="List Paragraph"/>
    <w:basedOn w:val="Normal"/>
    <w:uiPriority w:val="34"/>
    <w:qFormat/>
    <w:rsid w:val="00AE6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033">
      <w:bodyDiv w:val="1"/>
      <w:marLeft w:val="0"/>
      <w:marRight w:val="0"/>
      <w:marTop w:val="0"/>
      <w:marBottom w:val="0"/>
      <w:divBdr>
        <w:top w:val="none" w:sz="0" w:space="0" w:color="auto"/>
        <w:left w:val="none" w:sz="0" w:space="0" w:color="auto"/>
        <w:bottom w:val="none" w:sz="0" w:space="0" w:color="auto"/>
        <w:right w:val="none" w:sz="0" w:space="0" w:color="auto"/>
      </w:divBdr>
    </w:div>
    <w:div w:id="381827006">
      <w:bodyDiv w:val="1"/>
      <w:marLeft w:val="0"/>
      <w:marRight w:val="0"/>
      <w:marTop w:val="0"/>
      <w:marBottom w:val="0"/>
      <w:divBdr>
        <w:top w:val="none" w:sz="0" w:space="0" w:color="auto"/>
        <w:left w:val="none" w:sz="0" w:space="0" w:color="auto"/>
        <w:bottom w:val="none" w:sz="0" w:space="0" w:color="auto"/>
        <w:right w:val="none" w:sz="0" w:space="0" w:color="auto"/>
      </w:divBdr>
    </w:div>
    <w:div w:id="163748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F591555C970F408F6710A65F28B35B" ma:contentTypeVersion="13" ma:contentTypeDescription="Create a new document." ma:contentTypeScope="" ma:versionID="f75d74cd0e64696f114a0842928d6aa6">
  <xsd:schema xmlns:xsd="http://www.w3.org/2001/XMLSchema" xmlns:xs="http://www.w3.org/2001/XMLSchema" xmlns:p="http://schemas.microsoft.com/office/2006/metadata/properties" xmlns:ns2="5fb26306-9af8-4189-98e5-85504b401128" xmlns:ns3="d266bde2-1aa0-40f1-a845-fb750979221b" targetNamespace="http://schemas.microsoft.com/office/2006/metadata/properties" ma:root="true" ma:fieldsID="78d144b1328f79f300234a0ec0cf34ea" ns2:_="" ns3:_="">
    <xsd:import namespace="5fb26306-9af8-4189-98e5-85504b401128"/>
    <xsd:import namespace="d266bde2-1aa0-40f1-a845-fb75097922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26306-9af8-4189-98e5-85504b401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043f2b-fe9a-46f1-82bb-e631d0e34a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66bde2-1aa0-40f1-a845-fb75097922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0897ce-d8ba-417c-86a1-a828654faa85}" ma:internalName="TaxCatchAll" ma:showField="CatchAllData" ma:web="d266bde2-1aa0-40f1-a845-fb75097922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66bde2-1aa0-40f1-a845-fb750979221b" xsi:nil="true"/>
    <lcf76f155ced4ddcb4097134ff3c332f xmlns="5fb26306-9af8-4189-98e5-85504b4011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F3BAD8-417C-4CF0-8DFA-BBF4374DFC22}">
  <ds:schemaRefs>
    <ds:schemaRef ds:uri="http://schemas.openxmlformats.org/officeDocument/2006/bibliography"/>
  </ds:schemaRefs>
</ds:datastoreItem>
</file>

<file path=customXml/itemProps2.xml><?xml version="1.0" encoding="utf-8"?>
<ds:datastoreItem xmlns:ds="http://schemas.openxmlformats.org/officeDocument/2006/customXml" ds:itemID="{8A091E5D-1863-4B56-BC61-1F29D136B2DC}">
  <ds:schemaRefs>
    <ds:schemaRef ds:uri="http://schemas.microsoft.com/sharepoint/v3/contenttype/forms"/>
  </ds:schemaRefs>
</ds:datastoreItem>
</file>

<file path=customXml/itemProps3.xml><?xml version="1.0" encoding="utf-8"?>
<ds:datastoreItem xmlns:ds="http://schemas.openxmlformats.org/officeDocument/2006/customXml" ds:itemID="{EBCF883F-5D66-47BF-BB3A-CA69A7F80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26306-9af8-4189-98e5-85504b401128"/>
    <ds:schemaRef ds:uri="d266bde2-1aa0-40f1-a845-fb7509792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DB6B5-044F-4B96-BA1B-1F9C4DDBB9D6}">
  <ds:schemaRefs>
    <ds:schemaRef ds:uri="http://schemas.microsoft.com/office/2006/metadata/properties"/>
    <ds:schemaRef ds:uri="http://schemas.microsoft.com/office/infopath/2007/PartnerControls"/>
    <ds:schemaRef ds:uri="d266bde2-1aa0-40f1-a845-fb750979221b"/>
    <ds:schemaRef ds:uri="5fb26306-9af8-4189-98e5-85504b401128"/>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dc:creator>
  <cp:lastModifiedBy>Eve Leppik</cp:lastModifiedBy>
  <cp:revision>41</cp:revision>
  <cp:lastPrinted>2016-12-15T12:11:00Z</cp:lastPrinted>
  <dcterms:created xsi:type="dcterms:W3CDTF">2025-01-22T17:08:00Z</dcterms:created>
  <dcterms:modified xsi:type="dcterms:W3CDTF">2025-01-29T11:39:00Z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0x01010020F591555C970F408F6710A65F28B35B</vt:lpwstr>
  </property>
  <property fmtid="{D5CDD505-2E9C-101B-9397-08002B2CF9AE}" pid="3" name="MediaServiceImageTags">
    <vt:lpwstr/>
  </property>
</Properties>
</file>